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0A2" w:rsidRDefault="003E47EB" w:rsidP="001830A2">
      <w:pPr>
        <w:pStyle w:val="IQB-Aufgabentitel"/>
        <w:spacing w:after="120"/>
        <w:rPr>
          <w:rFonts w:cs="Arial"/>
          <w:szCs w:val="28"/>
        </w:rPr>
      </w:pPr>
      <w:r w:rsidRPr="001830A2">
        <w:rPr>
          <w:rFonts w:cs="Arial"/>
          <w:szCs w:val="28"/>
        </w:rPr>
        <w:t xml:space="preserve">Didaktische </w:t>
      </w:r>
      <w:r w:rsidR="00D450BC">
        <w:rPr>
          <w:rFonts w:cs="Arial"/>
          <w:szCs w:val="28"/>
        </w:rPr>
        <w:t>Kommentierung</w:t>
      </w:r>
      <w:bookmarkStart w:id="0" w:name="_GoBack"/>
      <w:bookmarkEnd w:id="0"/>
      <w:r w:rsidRPr="001830A2">
        <w:rPr>
          <w:rFonts w:cs="Arial"/>
          <w:szCs w:val="28"/>
        </w:rPr>
        <w:t xml:space="preserve">: </w:t>
      </w:r>
      <w:r w:rsidR="000D0328" w:rsidRPr="001830A2">
        <w:rPr>
          <w:rFonts w:cs="Arial"/>
          <w:szCs w:val="28"/>
        </w:rPr>
        <w:t>Aufgabe</w:t>
      </w:r>
      <w:r w:rsidRPr="001830A2">
        <w:rPr>
          <w:rFonts w:cs="Arial"/>
          <w:szCs w:val="28"/>
        </w:rPr>
        <w:t xml:space="preserve"> </w:t>
      </w:r>
      <w:r w:rsidR="000D0328" w:rsidRPr="001830A2">
        <w:rPr>
          <w:rFonts w:cs="Arial"/>
          <w:szCs w:val="28"/>
        </w:rPr>
        <w:t>Zahlenfolge 1</w:t>
      </w:r>
    </w:p>
    <w:p w:rsidR="001830A2" w:rsidRPr="001830A2" w:rsidRDefault="001830A2" w:rsidP="001830A2">
      <w:pPr>
        <w:pStyle w:val="IQB-Aufgabentitel"/>
        <w:spacing w:after="120"/>
        <w:rPr>
          <w:rFonts w:cs="Arial"/>
          <w:sz w:val="22"/>
          <w:szCs w:val="22"/>
        </w:rPr>
      </w:pPr>
    </w:p>
    <w:p w:rsidR="003E47EB" w:rsidRPr="001830A2" w:rsidRDefault="003E47EB" w:rsidP="001830A2">
      <w:pPr>
        <w:pStyle w:val="IQB-Aufgabentitel"/>
        <w:spacing w:after="120"/>
        <w:rPr>
          <w:rFonts w:cs="Arial"/>
          <w:b/>
          <w:sz w:val="22"/>
          <w:szCs w:val="22"/>
        </w:rPr>
      </w:pPr>
      <w:r w:rsidRPr="001830A2">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260"/>
        <w:gridCol w:w="3514"/>
        <w:gridCol w:w="3514"/>
      </w:tblGrid>
      <w:tr w:rsidR="00C71B32" w:rsidRPr="001830A2">
        <w:tc>
          <w:tcPr>
            <w:tcW w:w="2040" w:type="dxa"/>
            <w:vAlign w:val="center"/>
          </w:tcPr>
          <w:p w:rsidR="00C71B32" w:rsidRPr="001830A2" w:rsidRDefault="000D0328" w:rsidP="001830A2">
            <w:pPr>
              <w:pStyle w:val="IQB-Merkmal"/>
              <w:spacing w:before="0" w:after="120"/>
              <w:rPr>
                <w:rFonts w:cs="Arial"/>
                <w:sz w:val="22"/>
              </w:rPr>
            </w:pPr>
            <w:r w:rsidRPr="001830A2">
              <w:rPr>
                <w:rFonts w:cs="Arial"/>
                <w:sz w:val="22"/>
              </w:rPr>
              <w:t>Leitidee</w:t>
            </w:r>
          </w:p>
        </w:tc>
        <w:tc>
          <w:tcPr>
            <w:tcW w:w="7086" w:type="dxa"/>
            <w:gridSpan w:val="2"/>
          </w:tcPr>
          <w:p w:rsidR="00C71B32" w:rsidRPr="001830A2" w:rsidRDefault="000D0328" w:rsidP="001830A2">
            <w:pPr>
              <w:pStyle w:val="IQB-Merkmalswert"/>
              <w:spacing w:before="0" w:after="120"/>
              <w:rPr>
                <w:rFonts w:cs="Arial"/>
                <w:sz w:val="22"/>
                <w:szCs w:val="22"/>
              </w:rPr>
            </w:pPr>
            <w:r w:rsidRPr="001830A2">
              <w:rPr>
                <w:rFonts w:cs="Arial"/>
                <w:sz w:val="22"/>
                <w:szCs w:val="22"/>
              </w:rPr>
              <w:t>Muster und Strukturen</w:t>
            </w:r>
          </w:p>
        </w:tc>
      </w:tr>
      <w:tr w:rsidR="00C71B32" w:rsidRPr="001830A2">
        <w:tc>
          <w:tcPr>
            <w:tcW w:w="2040" w:type="dxa"/>
          </w:tcPr>
          <w:p w:rsidR="00C71B32" w:rsidRPr="001830A2" w:rsidRDefault="000D0328" w:rsidP="001830A2">
            <w:pPr>
              <w:pStyle w:val="IQB-Merkmal"/>
              <w:spacing w:before="0" w:after="120"/>
              <w:rPr>
                <w:rFonts w:cs="Arial"/>
                <w:sz w:val="22"/>
              </w:rPr>
            </w:pPr>
            <w:r w:rsidRPr="001830A2">
              <w:rPr>
                <w:rFonts w:cs="Arial"/>
                <w:sz w:val="22"/>
              </w:rPr>
              <w:t>Aufgabenmerkmale</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1</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2</w:t>
            </w:r>
          </w:p>
        </w:tc>
      </w:tr>
      <w:tr w:rsidR="00C71B32" w:rsidRPr="001830A2">
        <w:tc>
          <w:tcPr>
            <w:tcW w:w="2040" w:type="dxa"/>
            <w:vAlign w:val="center"/>
          </w:tcPr>
          <w:p w:rsidR="00C71B32" w:rsidRPr="001830A2" w:rsidRDefault="000D0328" w:rsidP="001830A2">
            <w:pPr>
              <w:pStyle w:val="IQB-Merkmal"/>
              <w:spacing w:before="0" w:after="120"/>
              <w:rPr>
                <w:rFonts w:cs="Arial"/>
                <w:sz w:val="22"/>
              </w:rPr>
            </w:pPr>
            <w:r w:rsidRPr="001830A2">
              <w:rPr>
                <w:rFonts w:cs="Arial"/>
                <w:sz w:val="22"/>
              </w:rPr>
              <w:t>Bildungsstandard/s - Allgemeine Kompetenzen</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mathematische Kenntnisse, Fertigkeiten und Fähigkeiten bei der Bearbeitung problemhaltiger Aufgaben anwenden; Zusammenhänge erkennen, nutzen und auf ähnliche Sachverhalte übertragen</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mathematische Kenntnisse, Fertigkeiten und Fähigkeiten bei der Bearbeitung problemhaltiger Aufgaben anwenden; Zusammenhänge erkennen, nutzen und auf ähnliche Sachverhalte übertragen</w:t>
            </w:r>
          </w:p>
        </w:tc>
      </w:tr>
      <w:tr w:rsidR="00C71B32" w:rsidRPr="001830A2">
        <w:tc>
          <w:tcPr>
            <w:tcW w:w="2040" w:type="dxa"/>
            <w:vAlign w:val="center"/>
          </w:tcPr>
          <w:p w:rsidR="00C71B32" w:rsidRPr="001830A2" w:rsidRDefault="000D0328" w:rsidP="001830A2">
            <w:pPr>
              <w:pStyle w:val="IQB-Merkmal"/>
              <w:spacing w:before="0" w:after="120"/>
              <w:rPr>
                <w:rFonts w:cs="Arial"/>
                <w:sz w:val="22"/>
              </w:rPr>
            </w:pPr>
            <w:r w:rsidRPr="001830A2">
              <w:rPr>
                <w:rFonts w:cs="Arial"/>
                <w:sz w:val="22"/>
              </w:rPr>
              <w:t>Bildungsstandard/s - Inhaltsbezogene Kompetenzen (Leitideen)</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Gesetzmäßigkeiten erkennen, beschreiben und darstellen</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Gesetzmäßigkeiten erkennen, beschreiben und darstellen</w:t>
            </w:r>
          </w:p>
        </w:tc>
      </w:tr>
      <w:tr w:rsidR="00C71B32" w:rsidRPr="001830A2">
        <w:tc>
          <w:tcPr>
            <w:tcW w:w="2040" w:type="dxa"/>
            <w:vAlign w:val="center"/>
          </w:tcPr>
          <w:p w:rsidR="00C71B32" w:rsidRPr="001830A2" w:rsidRDefault="000D0328" w:rsidP="001830A2">
            <w:pPr>
              <w:pStyle w:val="IQB-Merkmal"/>
              <w:spacing w:before="0" w:after="120"/>
              <w:rPr>
                <w:rFonts w:cs="Arial"/>
                <w:sz w:val="22"/>
              </w:rPr>
            </w:pPr>
            <w:r w:rsidRPr="001830A2">
              <w:rPr>
                <w:rFonts w:cs="Arial"/>
                <w:sz w:val="22"/>
              </w:rPr>
              <w:t>Kompetenzstufe</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IV</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V</w:t>
            </w:r>
          </w:p>
        </w:tc>
      </w:tr>
      <w:tr w:rsidR="00C71B32" w:rsidRPr="001830A2">
        <w:tc>
          <w:tcPr>
            <w:tcW w:w="2040" w:type="dxa"/>
            <w:vAlign w:val="center"/>
          </w:tcPr>
          <w:p w:rsidR="00C71B32" w:rsidRPr="001830A2" w:rsidRDefault="000D0328" w:rsidP="001830A2">
            <w:pPr>
              <w:pStyle w:val="IQB-Merkmal"/>
              <w:spacing w:before="0" w:after="120"/>
              <w:rPr>
                <w:rFonts w:cs="Arial"/>
                <w:sz w:val="22"/>
              </w:rPr>
            </w:pPr>
            <w:r w:rsidRPr="001830A2">
              <w:rPr>
                <w:rFonts w:cs="Arial"/>
                <w:sz w:val="22"/>
              </w:rPr>
              <w:t>Anforderungsbereich</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Zusammenhänge herstellen (II)</w:t>
            </w:r>
          </w:p>
        </w:tc>
        <w:tc>
          <w:tcPr>
            <w:tcW w:w="3543" w:type="dxa"/>
          </w:tcPr>
          <w:p w:rsidR="00C71B32" w:rsidRPr="001830A2" w:rsidRDefault="000D0328" w:rsidP="001830A2">
            <w:pPr>
              <w:pStyle w:val="IQB-Merkmalswert"/>
              <w:spacing w:before="0" w:after="120"/>
              <w:rPr>
                <w:rFonts w:cs="Arial"/>
                <w:sz w:val="22"/>
                <w:szCs w:val="22"/>
              </w:rPr>
            </w:pPr>
            <w:r w:rsidRPr="001830A2">
              <w:rPr>
                <w:rFonts w:cs="Arial"/>
                <w:sz w:val="22"/>
                <w:szCs w:val="22"/>
              </w:rPr>
              <w:t>Verallgemeinern und Reflektieren (III)</w:t>
            </w:r>
          </w:p>
        </w:tc>
      </w:tr>
    </w:tbl>
    <w:p w:rsidR="001830A2" w:rsidRDefault="001830A2" w:rsidP="001830A2">
      <w:pPr>
        <w:pStyle w:val="IQB-Teilaufgabensubtitel"/>
        <w:spacing w:before="0" w:after="120"/>
        <w:rPr>
          <w:rFonts w:cs="Arial"/>
          <w:szCs w:val="22"/>
        </w:rPr>
      </w:pPr>
    </w:p>
    <w:p w:rsidR="001830A2" w:rsidRPr="001830A2" w:rsidRDefault="001830A2" w:rsidP="001830A2">
      <w:pPr>
        <w:pStyle w:val="IQB-Teilaufgabensubtitel"/>
        <w:spacing w:before="0" w:after="120"/>
        <w:rPr>
          <w:rFonts w:cs="Arial"/>
          <w:b/>
          <w:szCs w:val="22"/>
        </w:rPr>
      </w:pPr>
      <w:r w:rsidRPr="001830A2">
        <w:rPr>
          <w:rFonts w:cs="Arial"/>
          <w:b/>
          <w:szCs w:val="22"/>
        </w:rPr>
        <w:t>Didaktischer Kommentar</w:t>
      </w:r>
    </w:p>
    <w:p w:rsidR="001830A2" w:rsidRPr="001830A2" w:rsidRDefault="001830A2" w:rsidP="001830A2">
      <w:pPr>
        <w:pStyle w:val="IQB-Teilaufgabensubtitel"/>
        <w:spacing w:before="0" w:after="120"/>
        <w:rPr>
          <w:rFonts w:cs="Arial"/>
          <w:szCs w:val="22"/>
        </w:rPr>
      </w:pPr>
      <w:r w:rsidRPr="001830A2">
        <w:rPr>
          <w:rFonts w:cs="Arial"/>
          <w:szCs w:val="22"/>
        </w:rPr>
        <w:t>Bei dieser Aufgabe müssen die Kinder</w:t>
      </w:r>
      <w:r>
        <w:rPr>
          <w:rFonts w:cs="Arial"/>
          <w:szCs w:val="22"/>
        </w:rPr>
        <w:t xml:space="preserve"> </w:t>
      </w:r>
      <w:r w:rsidRPr="001830A2">
        <w:rPr>
          <w:rFonts w:cs="Arial"/>
          <w:szCs w:val="22"/>
        </w:rPr>
        <w:t>das Bildungsgesetz der Zahlenfolge erkennen. Dazu müssen sie die Zahlen operativ zueinander in Beziehung setzen und erkennen, dass die Zahlen in der Folge immer kleiner werden, also von Zahl zu Zahl subtrahiert werden muss. Weiter müssen die Kinder erkennen, dass der Subtrahend stetig um 1 größer wird. Diese Gesetzmäßigkeit müssen sie anwenden können, um die fehlende Zahl in der Zahlenfolge zu berechnen.</w:t>
      </w:r>
    </w:p>
    <w:p w:rsidR="001830A2" w:rsidRPr="001830A2" w:rsidRDefault="000D0328" w:rsidP="001830A2">
      <w:pPr>
        <w:pStyle w:val="IQB-Teilaufgabensubtitel"/>
        <w:spacing w:before="0" w:after="120"/>
        <w:rPr>
          <w:rFonts w:cs="Arial"/>
          <w:szCs w:val="22"/>
        </w:rPr>
      </w:pPr>
      <w:r>
        <w:rPr>
          <w:rFonts w:cs="Arial"/>
          <w:noProof/>
          <w:szCs w:val="22"/>
        </w:rPr>
        <w:drawing>
          <wp:anchor distT="0" distB="0" distL="114300" distR="114300" simplePos="0" relativeHeight="251658752" behindDoc="1" locked="0" layoutInCell="1" allowOverlap="1">
            <wp:simplePos x="0" y="0"/>
            <wp:positionH relativeFrom="margin">
              <wp:posOffset>31750</wp:posOffset>
            </wp:positionH>
            <wp:positionV relativeFrom="paragraph">
              <wp:posOffset>58420</wp:posOffset>
            </wp:positionV>
            <wp:extent cx="5219700" cy="628650"/>
            <wp:effectExtent l="0" t="0" r="0" b="0"/>
            <wp:wrapTight wrapText="bothSides">
              <wp:wrapPolygon edited="0">
                <wp:start x="3153" y="4582"/>
                <wp:lineTo x="0" y="7200"/>
                <wp:lineTo x="0" y="20945"/>
                <wp:lineTo x="21521" y="20945"/>
                <wp:lineTo x="21521" y="7855"/>
                <wp:lineTo x="21364" y="7200"/>
                <wp:lineTo x="17895" y="4582"/>
                <wp:lineTo x="3153" y="4582"/>
              </wp:wrapPolygon>
            </wp:wrapTight>
            <wp:docPr id="2" name="Grafik 2" descr="DK_MS_0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_MS_05_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7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30A2" w:rsidRPr="001830A2" w:rsidRDefault="001830A2" w:rsidP="001830A2">
      <w:pPr>
        <w:pStyle w:val="IQB-Teilaufgabensubtitel"/>
        <w:spacing w:before="0" w:after="120"/>
        <w:rPr>
          <w:rFonts w:cs="Arial"/>
          <w:szCs w:val="22"/>
        </w:rPr>
      </w:pPr>
    </w:p>
    <w:p w:rsidR="000D0328" w:rsidRDefault="000D0328" w:rsidP="001830A2">
      <w:pPr>
        <w:pStyle w:val="IQB-Teilaufgabensubtitel"/>
        <w:spacing w:before="0" w:after="120"/>
        <w:rPr>
          <w:rFonts w:cs="Arial"/>
          <w:szCs w:val="22"/>
        </w:rPr>
      </w:pPr>
    </w:p>
    <w:p w:rsidR="000D0328" w:rsidRDefault="000D0328" w:rsidP="001830A2">
      <w:pPr>
        <w:pStyle w:val="IQB-Teilaufgabensubtitel"/>
        <w:spacing w:before="0" w:after="120"/>
        <w:rPr>
          <w:rFonts w:cs="Arial"/>
          <w:szCs w:val="22"/>
        </w:rPr>
      </w:pPr>
    </w:p>
    <w:p w:rsidR="001830A2" w:rsidRPr="001830A2" w:rsidRDefault="001830A2" w:rsidP="001830A2">
      <w:pPr>
        <w:pStyle w:val="IQB-Teilaufgabensubtitel"/>
        <w:spacing w:before="0" w:after="120"/>
        <w:rPr>
          <w:rFonts w:cs="Arial"/>
          <w:szCs w:val="22"/>
        </w:rPr>
      </w:pPr>
      <w:r w:rsidRPr="001830A2">
        <w:rPr>
          <w:rFonts w:cs="Arial"/>
          <w:szCs w:val="22"/>
        </w:rPr>
        <w:t>In Teilaufgabe b müssen die Kinder das Bildungsgesetz der Zahlenfolge beschreiben können. Hier werden die allgemeinen mathematischen Kompetenzen „Kommunizieren“ und „Argumentieren“ angesprochen und gefordert.</w:t>
      </w:r>
    </w:p>
    <w:p w:rsidR="001830A2" w:rsidRPr="001830A2" w:rsidRDefault="001830A2" w:rsidP="001830A2">
      <w:pPr>
        <w:pStyle w:val="IQB-Teilaufgabensubtitel"/>
        <w:spacing w:before="0" w:after="120"/>
        <w:rPr>
          <w:rFonts w:cs="Arial"/>
          <w:szCs w:val="22"/>
        </w:rPr>
      </w:pPr>
    </w:p>
    <w:sectPr w:rsidR="001830A2" w:rsidRPr="001830A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0A2" w:rsidRDefault="001830A2" w:rsidP="001830A2">
      <w:r>
        <w:separator/>
      </w:r>
    </w:p>
  </w:endnote>
  <w:endnote w:type="continuationSeparator" w:id="0">
    <w:p w:rsidR="001830A2" w:rsidRDefault="001830A2" w:rsidP="0018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0A2" w:rsidRDefault="001830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0A2" w:rsidRDefault="001830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0A2" w:rsidRDefault="001830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0A2" w:rsidRDefault="001830A2" w:rsidP="001830A2">
      <w:r>
        <w:separator/>
      </w:r>
    </w:p>
  </w:footnote>
  <w:footnote w:type="continuationSeparator" w:id="0">
    <w:p w:rsidR="001830A2" w:rsidRDefault="001830A2" w:rsidP="00183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0A2" w:rsidRDefault="001830A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0A2" w:rsidRDefault="001830A2">
    <w:pPr>
      <w:pStyle w:val="Kopfzeile"/>
    </w:pPr>
    <w:r>
      <w:rPr>
        <w:noProof/>
      </w:rPr>
      <w:drawing>
        <wp:anchor distT="0" distB="0" distL="114300" distR="114300" simplePos="0" relativeHeight="251659776" behindDoc="0" locked="0" layoutInCell="1" allowOverlap="1" wp14:anchorId="012C3130" wp14:editId="1767B331">
          <wp:simplePos x="0" y="0"/>
          <wp:positionH relativeFrom="page">
            <wp:posOffset>899795</wp:posOffset>
          </wp:positionH>
          <wp:positionV relativeFrom="page">
            <wp:posOffset>287020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0A2" w:rsidRDefault="001830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0328"/>
    <w:rsid w:val="000D5D22"/>
    <w:rsid w:val="000D6068"/>
    <w:rsid w:val="000F22A1"/>
    <w:rsid w:val="00104280"/>
    <w:rsid w:val="00176D67"/>
    <w:rsid w:val="001830A2"/>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3E47EB"/>
    <w:rsid w:val="004D1DCE"/>
    <w:rsid w:val="004F70C4"/>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1B32"/>
    <w:rsid w:val="00C7686A"/>
    <w:rsid w:val="00CF32DF"/>
    <w:rsid w:val="00D44C7A"/>
    <w:rsid w:val="00D450BC"/>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82757"/>
  <w15:docId w15:val="{E7743F4B-CEF3-4E5E-9F76-2468A8EF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1830A2"/>
    <w:pPr>
      <w:tabs>
        <w:tab w:val="center" w:pos="4536"/>
        <w:tab w:val="right" w:pos="9072"/>
      </w:tabs>
    </w:pPr>
  </w:style>
  <w:style w:type="character" w:customStyle="1" w:styleId="KopfzeileZchn">
    <w:name w:val="Kopfzeile Zchn"/>
    <w:basedOn w:val="Absatz-Standardschriftart"/>
    <w:link w:val="Kopfzeile"/>
    <w:rsid w:val="001830A2"/>
    <w:rPr>
      <w:sz w:val="24"/>
      <w:szCs w:val="24"/>
    </w:rPr>
  </w:style>
  <w:style w:type="paragraph" w:styleId="Fuzeile">
    <w:name w:val="footer"/>
    <w:basedOn w:val="Standard"/>
    <w:link w:val="FuzeileZchn"/>
    <w:unhideWhenUsed/>
    <w:rsid w:val="001830A2"/>
    <w:pPr>
      <w:tabs>
        <w:tab w:val="center" w:pos="4536"/>
        <w:tab w:val="right" w:pos="9072"/>
      </w:tabs>
    </w:pPr>
  </w:style>
  <w:style w:type="character" w:customStyle="1" w:styleId="FuzeileZchn">
    <w:name w:val="Fußzeile Zchn"/>
    <w:basedOn w:val="Absatz-Standardschriftart"/>
    <w:link w:val="Fuzeile"/>
    <w:rsid w:val="001830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1292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9</cp:revision>
  <cp:lastPrinted>2007-01-11T14:25:00Z</cp:lastPrinted>
  <dcterms:created xsi:type="dcterms:W3CDTF">2020-12-23T09:34:00Z</dcterms:created>
  <dcterms:modified xsi:type="dcterms:W3CDTF">2021-02-12T10:09:00Z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